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إنزال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المني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نهار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سائل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ليبيا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يقول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داعب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زوجته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صائم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وأنزل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الشهوة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انتبه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لنفسه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نزول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بلحظات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مفطرا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القضاء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نزول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اليقظة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بالمباشرة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غيرها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مفسدات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الاحتلام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خروج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المنام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اختيار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مفسدات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الاثنين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٤/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