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مخالفة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لوائح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وتنظيمات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ولي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الأمر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حفظكم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بخصوص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التباعد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الاجتماعي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تملل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الأولاد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الجلوس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البيت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أخذهم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جدتهم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تعتبر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مخالفة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لولي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هناك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تجمع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لعائلات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الإخوه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والأخوات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حدد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عدد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معينا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للتزاور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الأقارب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اللوائح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تتحدث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دوري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بالالتزام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بهذه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اللوائح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وضعها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ثانيا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المكث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البيوت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للجميع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الجمعة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١٥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٨/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