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240" w:lineRule="auto"/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حكم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مال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الفدية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إذا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مات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الرجل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رمضان</w:t>
      </w:r>
    </w:p>
    <w:p w:rsidR="00000000" w:rsidDel="00000000" w:rsidP="00000000" w:rsidRDefault="00000000" w:rsidRPr="00000000" w14:paraId="00000002">
      <w:pPr>
        <w:bidi w:val="1"/>
        <w:spacing w:line="240" w:lineRule="auto"/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هذا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السؤال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ليبيا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السلام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عليكم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شيخنا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الحبيب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حياك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رجل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مصاب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بالفشل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الكلوي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وبدخول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شهر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رمضان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يستطيع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الصيام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فنوى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يطعم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كل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يوم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مسكين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(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وبعد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السؤال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علم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الاطعام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كل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يوم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mbria Math" w:cs="Cambria Math" w:eastAsia="Cambria Math" w:hAnsi="Cambria Math"/>
          <w:sz w:val="36"/>
          <w:szCs w:val="36"/>
          <w:highlight w:val="white"/>
          <w:rtl w:val="0"/>
        </w:rPr>
        <w:t xml:space="preserve">⑤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دينار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،)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فجمع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المبلغ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المطلوب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وهو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مائة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وخمسون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دينار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ليبي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وفي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اليوم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الأول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رمضان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أخرج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نصف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المبلغ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واشترى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إفطار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لمجموعة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مساكين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وفي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ثاني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يوم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رمضان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انتقل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جوار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ربة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بعد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تعرضه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لحادت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سير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أليم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فما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حكم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المبلغ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الباقي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الذي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نوى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نية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الاطعام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.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spacing w:line="240" w:lineRule="auto"/>
        <w:rPr>
          <w:rFonts w:ascii="Traditional Arabic" w:cs="Traditional Arabic" w:eastAsia="Traditional Arabic" w:hAnsi="Traditional Arabic"/>
          <w:sz w:val="36"/>
          <w:szCs w:val="36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الجواب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: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وعليكم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السلام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ورحمة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وبركاته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حياكم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الذي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يوم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واحد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فقط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لأنه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مات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اليوم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الثاني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.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والمبلغ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الباقي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يضم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تركة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الميت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ثم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تقسم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التركة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بعد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سداد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ديونه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وانفاذ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وصيته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spacing w:line="240" w:lineRule="auto"/>
        <w:rPr>
          <w:rFonts w:ascii="Traditional Arabic" w:cs="Traditional Arabic" w:eastAsia="Traditional Arabic" w:hAnsi="Traditional Arabic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spacing w:line="240" w:lineRule="auto"/>
        <w:rPr>
          <w:rFonts w:ascii="Traditional Arabic" w:cs="Traditional Arabic" w:eastAsia="Traditional Arabic" w:hAnsi="Traditional Arabic"/>
          <w:b w:val="1"/>
          <w:sz w:val="36"/>
          <w:szCs w:val="36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يوم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الأربعاء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تاريخ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٢٠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رمضان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١٤٤١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الموافق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: ١٣/ ٥ /٢٠٢٠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aditional Arabic"/>
  <w:font w:name="Cambria Math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