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حكم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بيع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1"/>
        </w:rPr>
        <w:t xml:space="preserve">التجاري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حفظكم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مطعم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ويأخذ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مبلغا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شهريا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مثل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المطاعم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الكبري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كمكدونالدز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جاز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الشروط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بأس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المطعم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مسجلا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الرخصة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التجارية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يستلزم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الغرر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التدليس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الغش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المستهلكين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الاسم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التجاري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الشروط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الضوابط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بأس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الخميس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١٤/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