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left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صيام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المصاب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بالزهايمر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left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وبركاته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.....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الفاضل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.....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تكرمتم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....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كبير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يصوم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حوالي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85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عاما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قادر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بصورة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إضافة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بمرض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الزهايمر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وأحيانا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نهار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وأحيانا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يرجع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الفكر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قليلا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.....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فأولا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يصوم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المشقة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الحاصلة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مرضه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الزهايمر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...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يفدى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مقدار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الفدية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....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أفتونا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مأجورين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جزاكم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مصابا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بالزهايمر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بالخرف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وعقله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يطعم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عقله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يطعم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مسكين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صاع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قوت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البلد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ونصف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تقريبا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ً.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الخميس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21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1441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:14/5/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2020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