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تتبع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البدن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السائل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المغرب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فضيلة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أحسن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سائل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يسأل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إخراج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مقيم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فبسبب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الجائحة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منعت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الرجوع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لبلدي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وأريد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إخراج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نفسي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يشرع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إخراجها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البلد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؟؟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فطره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البلد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تتبع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البدن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الأربعاء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