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الطبيب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دعاة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الباطل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وصفه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طبيب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يتحدث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موضوع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الشفاء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؟!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صححه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الطبيب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رفيق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طبيبها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خلقها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الشافي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الشفاء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خلق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معنى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أسماء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الحسنى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الطبيب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ومثل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صححه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أسماء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