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الوسائل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بقصد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الدعوة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المغرب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بالاستقامة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وكنت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بنتا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دراستي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بمثابة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اﻷخت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الخوض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محرمة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فكرت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ومؤخرا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تواصل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الأنترنت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وأخبرتني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تريد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الاستقامة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تبدأ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تستمع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كثر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دعاة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الضلال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بلدتنا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المتمسكات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بالمنهج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أتواصل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بهدف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الدعوة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أقل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المنهج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وعلمائه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أقوم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فضيلتكم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نصيحتكم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نرجو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التوجيه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السديد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للفتنة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تركت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أضر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الرجال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والصواب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إحدي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قريباتك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كأختك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تتواصل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وترشدها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الكبار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....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السبت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٣٠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٢٣/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