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left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الحلي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المستعمل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                                                                       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كيف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أحسن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بالنسبة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لمسالة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الذهب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انقسم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العلماء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طرفين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طرف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يرى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الوجوب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ويستدل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بحديث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وطرف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يرى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عدم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الوجوب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ويستدل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بحديث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فكيف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نستطيع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الترجيح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وخصوصا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طرف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حديث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رسول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حديث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(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)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باطل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الألباني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الإرواء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وحديث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القائلين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بوجوب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المستعمل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صحيح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فلهذا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الراجح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المسألة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القائلين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بوجوب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الزكاة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المستعمل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السبت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٣٠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٢٣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مايو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