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ماله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لسنتين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شخص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5000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قرابة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سنتين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سنتين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يزيدون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ينقصون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٥٠٠٠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أدري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خمسة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خمسة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وثمانون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جراما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الذهب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النصاب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يساوي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خمسة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لسنتين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السنتين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٤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٢٧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