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left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البيع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بتخفيض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الثمن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الفاحش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                                   </w:t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مجموعة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محلات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سوق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المحلات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يخدموا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والمتعارف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السوق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يحملوا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نسبة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٢٥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٣٥%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اجمالي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القطعة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جاهم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رجل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فتح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محل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اصبح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يفسد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اصبح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يحمل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٥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١٠%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اجمالي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القطعة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حرق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السوق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التجار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السوق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محل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بالإيجار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كلمه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التجار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قلهم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واحد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رزقه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للتاجر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يضر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بالتجار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الآخرين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بحيث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السعر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الشيء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الفاحش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فيتضرر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تجار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السوق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يصل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كساد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سلعهم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وبضائعهم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يصل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ببعضهم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يغلق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محله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ودكانه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ضرر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المعلوم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إلحاق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الضرر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بالآخرين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ضرر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ضرار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التجار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يبيعون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بثمن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وربح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فاحش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وجاء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التاجر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وباع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بسعر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أقل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يربح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الربح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المناسب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والمعتدل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يبيع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بأقل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التكلفة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ليتضرر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تجار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السوق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يحتكر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السوق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نفسه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ضرر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يظهر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التاجر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السعر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ليضر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بتجار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السوق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الصورة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إضرارا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بالآخرين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الأربعاء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٤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شوال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highlight w:val="white"/>
          <w:rtl w:val="1"/>
        </w:rPr>
        <w:t xml:space="preserve">ھ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٢٧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مايو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