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الكلام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ولاة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والتشهير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بهم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الإسلام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والسنة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الحبيب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احسن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نحن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تونس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نظام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برلماني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ينقسم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ثلاثة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مناصب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رئيس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الجمهورية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رئيس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الحكومة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رئيس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البرلمان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يتم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تمرير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قرار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بالرجوع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لرئيس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البرلمان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الكلام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رئيس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البرلمان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التونسي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الإخوان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والتشهير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بعينه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صفحات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التواصل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الاجتماعي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اخواننا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السلفيين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نصيحتكم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ينكر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ولايته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يعترف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بولايته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بحجة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الإخوان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ويجيز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الكلام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وينكر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يعترف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بولايته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أفيدونا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اثابكم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الجنة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طيب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اصبح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خطر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محدق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بالشباب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نسأل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والعافية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الكلام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والتشهير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الخروج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والخروج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بالسيف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أيضا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باللسان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الكلام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نوابهم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وزرائهم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رؤساء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الدوائر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رأى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شيئا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عينهم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يبين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التشهير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والإنكار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العلني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مذهب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الخوارج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وقعد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الخوارج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أخبث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الخوارج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يزينون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الخروج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والخروج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بالسيف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يبدأ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بالكلمة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الواحدة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أفواه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هؤلاء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تشتعل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الفتنة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فتسفك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الدماء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وتزهق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الأرواح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وتنهب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الأموال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وتنتهك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الأعراض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وتنتشر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الفوضى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البلاد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العباد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فالناس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الفتنة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فاتقوا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أنفسكم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واحفظوا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بلدكم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فلينصح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بالسر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يشهر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أراد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ينصح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سلطان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يبده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علانية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ولكن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ليأخذ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بيده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فيخلوا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فبل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فذاك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وإلا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أدى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فأنصح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الجميع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بحفظ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ألسنتهم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الأحد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الخامس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عشر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شوال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هـ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٧ / ٦/ 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