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240" w:lineRule="auto"/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*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معتقد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رم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ليلة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الزواج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*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السؤال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0"/>
        </w:rPr>
        <w:t xml:space="preserve">: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شيخنا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أحسن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إليكم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.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بعض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الإخوة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الجمهورية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المصرية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حفظهم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عندما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يتزوج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الرجل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بالمرأة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يعتقدون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الليلة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الأولى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لابد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يشرب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كلا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الزوج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والزوجة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علبة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حليب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بمعنى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يشرب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الزوج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نصف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العلبة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وتشرب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الزوجة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النصف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الآخر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وبذلك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تكون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حياتهما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صافية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بيضاء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كلون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الحليب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المشروب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ومشرقة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بلا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كدر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وبلا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مشاكل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جراء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هذا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الحليب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المشروب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فهل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كلمة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ونصيحة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نرسلها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لبعض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هؤلاء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الإخوة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أحسن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إليكم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؟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الجواب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: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هذا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أصل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وهذا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الاعتقاد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يجوز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وهو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محرم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لأنهم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اعتقدوا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الحياة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الصافية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بلا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كدر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بشرب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الحليب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يعني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اعتقدوا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النفع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والضر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بسبب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شرب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هذا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الحليب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وهو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الحقيقة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ليس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سببا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للحياة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الصافية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بلا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كدر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فهذا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يجوز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وهو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محرم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وهو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الشرك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الأصغر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.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يوم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الجمعة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تاريخ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٢٧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شوال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١٤٤١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ھ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الموافق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aditional Arabic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