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سجود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التلاوة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الفاضل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سورتي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النجم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والعلق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سجود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وقرأت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أحداهن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ّ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وانتهيت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أسجد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سجود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وأرجع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واقفا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وأكمل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أواصل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صلاتي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أتت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0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السجدة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آخر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تسجد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سجود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فتقوم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تقرأ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بسورة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تركع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تسجد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فتقوم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وتركع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تسجد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سجود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التلاوة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مستحب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بواجب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