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جنابة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يورث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الفقر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أفيدونا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جزاكم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وإنما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يستحب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الوضوء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أراد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جنب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ثبت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عائشة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الاقتصار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اليدين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الجنب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يورث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الفقر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القعدة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٢٠٢٠/٦/٢٤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